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Бекітілген</w:t>
      </w: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Факультет деканы</w:t>
      </w:r>
    </w:p>
    <w:p w:rsidR="00A12AA7" w:rsidRDefault="00BD41FB" w:rsidP="001F0D09">
      <w:pPr>
        <w:jc w:val="center"/>
        <w:rPr>
          <w:b/>
          <w:sz w:val="28"/>
          <w:szCs w:val="28"/>
          <w:lang w:val="ru-RU"/>
        </w:rPr>
      </w:pPr>
      <w:r w:rsidRPr="0046260B">
        <w:rPr>
          <w:b/>
          <w:sz w:val="28"/>
          <w:szCs w:val="28"/>
        </w:rPr>
        <w:tab/>
        <w:t xml:space="preserve">             </w:t>
      </w:r>
      <w:r w:rsidR="00AA0A67">
        <w:rPr>
          <w:b/>
          <w:sz w:val="28"/>
          <w:szCs w:val="28"/>
        </w:rPr>
        <w:t xml:space="preserve">      </w:t>
      </w:r>
      <w:r w:rsidRPr="0046260B">
        <w:rPr>
          <w:b/>
          <w:sz w:val="28"/>
          <w:szCs w:val="28"/>
        </w:rPr>
        <w:t xml:space="preserve"> </w:t>
      </w:r>
      <w:r w:rsidR="001F0D09" w:rsidRPr="0046260B">
        <w:rPr>
          <w:b/>
          <w:sz w:val="28"/>
          <w:szCs w:val="28"/>
        </w:rPr>
        <w:t xml:space="preserve">з. ғ. </w:t>
      </w:r>
      <w:r w:rsidR="00E34C57">
        <w:rPr>
          <w:b/>
          <w:sz w:val="28"/>
          <w:szCs w:val="28"/>
          <w:lang w:val="ru-RU"/>
        </w:rPr>
        <w:t>к</w:t>
      </w:r>
      <w:r w:rsidR="001F0D09" w:rsidRPr="0046260B">
        <w:rPr>
          <w:b/>
          <w:sz w:val="28"/>
          <w:szCs w:val="28"/>
        </w:rPr>
        <w:t>.,</w:t>
      </w:r>
      <w:r w:rsidR="00E34C57">
        <w:rPr>
          <w:b/>
          <w:sz w:val="28"/>
          <w:szCs w:val="28"/>
          <w:lang w:val="ru-RU"/>
        </w:rPr>
        <w:t xml:space="preserve"> доцент</w:t>
      </w:r>
      <w:r w:rsidR="001F0D09" w:rsidRPr="0046260B">
        <w:rPr>
          <w:b/>
          <w:sz w:val="28"/>
          <w:szCs w:val="28"/>
        </w:rPr>
        <w:t xml:space="preserve"> </w:t>
      </w:r>
    </w:p>
    <w:p w:rsidR="00BD41FB" w:rsidRPr="00E34C57" w:rsidRDefault="00A12AA7" w:rsidP="001F0D09">
      <w:pPr>
        <w:jc w:val="center"/>
        <w:rPr>
          <w:b/>
          <w:sz w:val="28"/>
          <w:szCs w:val="28"/>
          <w:lang w:val="ru-RU"/>
        </w:rPr>
      </w:pPr>
      <w:r>
        <w:rPr>
          <w:b/>
          <w:sz w:val="28"/>
          <w:szCs w:val="28"/>
          <w:lang w:val="ru-RU"/>
        </w:rPr>
        <w:t xml:space="preserve">    </w:t>
      </w:r>
      <w:r w:rsidR="00AA0A67">
        <w:rPr>
          <w:b/>
          <w:sz w:val="28"/>
          <w:szCs w:val="28"/>
          <w:lang w:val="ru-RU"/>
        </w:rPr>
        <w:t xml:space="preserve">                      </w:t>
      </w:r>
      <w:r>
        <w:rPr>
          <w:b/>
          <w:sz w:val="28"/>
          <w:szCs w:val="28"/>
          <w:lang w:val="ru-RU"/>
        </w:rPr>
        <w:t xml:space="preserve"> </w:t>
      </w:r>
      <w:proofErr w:type="spellStart"/>
      <w:r w:rsidR="00E34C57">
        <w:rPr>
          <w:b/>
          <w:sz w:val="28"/>
          <w:szCs w:val="28"/>
          <w:lang w:val="ru-RU"/>
        </w:rPr>
        <w:t>Ахатов</w:t>
      </w:r>
      <w:proofErr w:type="spellEnd"/>
      <w:r w:rsidR="00E34C57">
        <w:rPr>
          <w:b/>
          <w:sz w:val="28"/>
          <w:szCs w:val="28"/>
          <w:lang w:val="ru-RU"/>
        </w:rPr>
        <w:t xml:space="preserve"> У.А.</w:t>
      </w:r>
      <w:r w:rsidR="00E34C57">
        <w:rPr>
          <w:b/>
          <w:sz w:val="28"/>
          <w:szCs w:val="28"/>
        </w:rPr>
        <w:t xml:space="preserve"> </w:t>
      </w: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00E34C57">
        <w:rPr>
          <w:b/>
          <w:sz w:val="28"/>
          <w:szCs w:val="28"/>
        </w:rPr>
        <w:t xml:space="preserve"> "2</w:t>
      </w:r>
      <w:r w:rsidR="00E34C57" w:rsidRPr="00AA0A67">
        <w:rPr>
          <w:b/>
          <w:sz w:val="28"/>
          <w:szCs w:val="28"/>
        </w:rPr>
        <w:t>6</w:t>
      </w:r>
      <w:r w:rsidR="00E34C57">
        <w:rPr>
          <w:b/>
          <w:sz w:val="28"/>
          <w:szCs w:val="28"/>
        </w:rPr>
        <w:t>" 06 202</w:t>
      </w:r>
      <w:r w:rsidR="00E34C57" w:rsidRPr="00AA0A67">
        <w:rPr>
          <w:b/>
          <w:sz w:val="28"/>
          <w:szCs w:val="28"/>
        </w:rPr>
        <w:t>5</w:t>
      </w:r>
      <w:r w:rsidR="00E34C57">
        <w:rPr>
          <w:b/>
          <w:sz w:val="28"/>
          <w:szCs w:val="28"/>
        </w:rPr>
        <w:t xml:space="preserve"> ж. №1</w:t>
      </w:r>
      <w:r w:rsidR="00E34C57" w:rsidRPr="00AA0A67">
        <w:rPr>
          <w:b/>
          <w:sz w:val="28"/>
          <w:szCs w:val="28"/>
        </w:rPr>
        <w:t>0</w:t>
      </w:r>
      <w:r w:rsidRPr="0046260B">
        <w:rPr>
          <w:b/>
          <w:sz w:val="28"/>
          <w:szCs w:val="28"/>
        </w:rPr>
        <w:t xml:space="preserve"> хаттама</w:t>
      </w:r>
    </w:p>
    <w:p w:rsidR="00BD41FB" w:rsidRPr="00141001" w:rsidRDefault="00BD41FB" w:rsidP="00BD41FB">
      <w:pPr>
        <w:jc w:val="center"/>
        <w:rPr>
          <w:sz w:val="28"/>
          <w:szCs w:val="28"/>
        </w:rPr>
      </w:pPr>
    </w:p>
    <w:p w:rsidR="00CA12C2" w:rsidRDefault="00CA12C2" w:rsidP="00CA12C2">
      <w:pPr>
        <w:ind w:firstLine="709"/>
        <w:jc w:val="center"/>
        <w:rPr>
          <w:b/>
          <w:sz w:val="28"/>
          <w:szCs w:val="28"/>
        </w:rPr>
      </w:pPr>
    </w:p>
    <w:p w:rsidR="00CA12C2" w:rsidRDefault="00CA12C2" w:rsidP="00995EBC">
      <w:pPr>
        <w:pStyle w:val="3"/>
        <w:spacing w:before="0"/>
        <w:rPr>
          <w:rFonts w:ascii="Times New Roman" w:hAnsi="Times New Roman" w:cs="Times New Roman"/>
          <w:sz w:val="28"/>
          <w:szCs w:val="28"/>
        </w:rPr>
      </w:pPr>
    </w:p>
    <w:p w:rsidR="00CA12C2" w:rsidRDefault="00CA12C2" w:rsidP="00CA12C2">
      <w:pPr>
        <w:ind w:firstLine="709"/>
        <w:jc w:val="center"/>
        <w:rPr>
          <w:b/>
          <w:sz w:val="28"/>
          <w:szCs w:val="28"/>
        </w:rPr>
      </w:pPr>
      <w:r>
        <w:rPr>
          <w:b/>
          <w:sz w:val="28"/>
          <w:szCs w:val="28"/>
        </w:rPr>
        <w:tab/>
      </w:r>
    </w:p>
    <w:p w:rsidR="00CA12C2" w:rsidRPr="00A24515" w:rsidRDefault="00CA12C2" w:rsidP="00CA12C2">
      <w:pPr>
        <w:adjustRightInd w:val="0"/>
        <w:rPr>
          <w:b/>
          <w:bCs/>
          <w:sz w:val="28"/>
          <w:szCs w:val="28"/>
        </w:rPr>
      </w:pPr>
      <w:r>
        <w:rPr>
          <w:b/>
          <w:bCs/>
          <w:sz w:val="28"/>
          <w:szCs w:val="28"/>
        </w:rPr>
        <w:t xml:space="preserve">  </w:t>
      </w:r>
      <w:r w:rsidRPr="00574603">
        <w:rPr>
          <w:b/>
          <w:bCs/>
          <w:sz w:val="28"/>
          <w:szCs w:val="28"/>
        </w:rPr>
        <w:t>GSR</w:t>
      </w:r>
      <w:r w:rsidR="0076672F" w:rsidRPr="0076672F">
        <w:rPr>
          <w:b/>
          <w:bCs/>
          <w:sz w:val="28"/>
          <w:szCs w:val="28"/>
        </w:rPr>
        <w:t xml:space="preserve">K </w:t>
      </w:r>
      <w:r w:rsidRPr="00574603">
        <w:rPr>
          <w:b/>
          <w:bCs/>
          <w:sz w:val="28"/>
          <w:szCs w:val="28"/>
        </w:rPr>
        <w:t xml:space="preserve">4311 </w:t>
      </w:r>
      <w:r>
        <w:rPr>
          <w:b/>
          <w:sz w:val="28"/>
          <w:szCs w:val="28"/>
          <w:lang w:eastAsia="ru-RU"/>
        </w:rPr>
        <w:t>Қазақстан Респуб</w:t>
      </w:r>
      <w:r w:rsidR="00AA0A67">
        <w:rPr>
          <w:b/>
          <w:sz w:val="28"/>
          <w:szCs w:val="28"/>
          <w:lang w:eastAsia="ru-RU"/>
        </w:rPr>
        <w:t>ликасындағы мемлекеттік  қызметтің құқықтық негіздері</w:t>
      </w:r>
    </w:p>
    <w:p w:rsidR="00CA12C2" w:rsidRPr="00E87BBB" w:rsidRDefault="00CA12C2" w:rsidP="00CA12C2">
      <w:pPr>
        <w:ind w:firstLine="709"/>
        <w:jc w:val="center"/>
        <w:rPr>
          <w:b/>
          <w:sz w:val="28"/>
          <w:szCs w:val="28"/>
        </w:rPr>
      </w:pP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AA0A67" w:rsidP="00CA12C2">
      <w:pPr>
        <w:adjustRightInd w:val="0"/>
        <w:jc w:val="center"/>
        <w:rPr>
          <w:b/>
          <w:sz w:val="28"/>
          <w:szCs w:val="28"/>
          <w:lang w:eastAsia="ru-RU"/>
        </w:rPr>
      </w:pPr>
      <w:r>
        <w:rPr>
          <w:b/>
          <w:sz w:val="28"/>
          <w:szCs w:val="28"/>
        </w:rPr>
        <w:t>6B0420</w:t>
      </w:r>
      <w:r w:rsidRPr="00AA0A67">
        <w:rPr>
          <w:b/>
          <w:sz w:val="28"/>
          <w:szCs w:val="28"/>
        </w:rPr>
        <w:t>2</w:t>
      </w:r>
      <w:r w:rsidR="00644F86">
        <w:rPr>
          <w:b/>
          <w:sz w:val="28"/>
          <w:szCs w:val="28"/>
        </w:rPr>
        <w:t xml:space="preserve"> – «</w:t>
      </w:r>
      <w:r w:rsidR="00644F86" w:rsidRPr="00AA0A67">
        <w:rPr>
          <w:b/>
          <w:sz w:val="28"/>
          <w:szCs w:val="28"/>
        </w:rPr>
        <w:t>Мемлекетт</w:t>
      </w:r>
      <w:r w:rsidR="00644F86">
        <w:rPr>
          <w:b/>
          <w:sz w:val="28"/>
          <w:szCs w:val="28"/>
        </w:rPr>
        <w:t>ік қызмет</w:t>
      </w:r>
      <w:r w:rsidR="00CA12C2" w:rsidRPr="009762A7">
        <w:rPr>
          <w:b/>
          <w:sz w:val="28"/>
          <w:szCs w:val="28"/>
        </w:rPr>
        <w:t>»</w:t>
      </w:r>
      <w:r w:rsidR="00CA12C2" w:rsidRPr="003743E1">
        <w:rPr>
          <w:b/>
        </w:rPr>
        <w:t xml:space="preserve"> </w:t>
      </w:r>
      <w:r w:rsidR="00CA12C2"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Pr="00AA0A67" w:rsidRDefault="00AA0A67" w:rsidP="00CA12C2">
      <w:pPr>
        <w:ind w:firstLine="709"/>
        <w:jc w:val="center"/>
        <w:rPr>
          <w:sz w:val="28"/>
          <w:szCs w:val="28"/>
        </w:rPr>
      </w:pPr>
      <w:r w:rsidRPr="00AA0A67">
        <w:rPr>
          <w:sz w:val="28"/>
          <w:szCs w:val="28"/>
        </w:rPr>
        <w:t xml:space="preserve">2 </w:t>
      </w:r>
      <w:r w:rsidR="00CA12C2">
        <w:rPr>
          <w:sz w:val="28"/>
          <w:szCs w:val="28"/>
        </w:rPr>
        <w:t xml:space="preserve">курс, күзгі семестр,  </w:t>
      </w:r>
      <w:r w:rsidR="0057057A" w:rsidRPr="00AA0A67">
        <w:rPr>
          <w:sz w:val="28"/>
          <w:szCs w:val="28"/>
        </w:rPr>
        <w:t>5</w:t>
      </w:r>
      <w:r w:rsidR="000860AC" w:rsidRPr="00AA0A67">
        <w:rPr>
          <w:sz w:val="28"/>
          <w:szCs w:val="28"/>
        </w:rPr>
        <w:t>кредит</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9F03BC" w:rsidRDefault="00CA12C2" w:rsidP="009F03BC">
      <w:pPr>
        <w:pStyle w:val="a5"/>
        <w:spacing w:after="0"/>
        <w:ind w:left="0"/>
        <w:rPr>
          <w:bCs/>
          <w:sz w:val="28"/>
          <w:szCs w:val="28"/>
        </w:rPr>
        <w:sectPr w:rsidR="00CA12C2" w:rsidRPr="009F03BC" w:rsidSect="00405DC6">
          <w:pgSz w:w="11910" w:h="16840"/>
          <w:pgMar w:top="1040" w:right="740" w:bottom="280" w:left="1600" w:header="720" w:footer="720" w:gutter="0"/>
          <w:cols w:space="720"/>
        </w:sectPr>
      </w:pPr>
      <w:r>
        <w:rPr>
          <w:b/>
          <w:sz w:val="28"/>
          <w:szCs w:val="28"/>
        </w:rPr>
        <w:t xml:space="preserve">                                                    </w:t>
      </w:r>
      <w:r w:rsidR="001665E7">
        <w:rPr>
          <w:bCs/>
          <w:sz w:val="28"/>
          <w:szCs w:val="28"/>
        </w:rPr>
        <w:t>Алматы, 202</w:t>
      </w:r>
      <w:r w:rsidR="00644F86">
        <w:rPr>
          <w:bCs/>
          <w:sz w:val="28"/>
          <w:szCs w:val="28"/>
          <w:lang w:val="ru-RU"/>
        </w:rPr>
        <w:t>5</w:t>
      </w:r>
      <w:r w:rsidR="009F03BC" w:rsidRPr="009F03BC">
        <w:rPr>
          <w:bCs/>
          <w:sz w:val="28"/>
          <w:szCs w:val="28"/>
        </w:rPr>
        <w:t>ж</w:t>
      </w:r>
    </w:p>
    <w:p w:rsidR="00CA12C2" w:rsidRDefault="00CA12C2" w:rsidP="009F03BC">
      <w:pPr>
        <w:adjustRightInd w:val="0"/>
        <w:jc w:val="both"/>
        <w:rPr>
          <w:sz w:val="28"/>
          <w:szCs w:val="28"/>
        </w:rPr>
      </w:pPr>
      <w:r w:rsidRPr="009F03BC">
        <w:lastRenderedPageBreak/>
        <w:t xml:space="preserve">    </w:t>
      </w:r>
      <w:r w:rsidR="00AA0A67">
        <w:rPr>
          <w:sz w:val="28"/>
          <w:szCs w:val="28"/>
        </w:rPr>
        <w:t>6B0420</w:t>
      </w:r>
      <w:r w:rsidR="00AA0A67" w:rsidRPr="00AA0A67">
        <w:rPr>
          <w:sz w:val="28"/>
          <w:szCs w:val="28"/>
        </w:rPr>
        <w:t xml:space="preserve">2 </w:t>
      </w:r>
      <w:r w:rsidR="00AA0A67">
        <w:rPr>
          <w:sz w:val="28"/>
          <w:szCs w:val="28"/>
        </w:rPr>
        <w:t>–</w:t>
      </w:r>
      <w:r w:rsidR="00915B0F">
        <w:rPr>
          <w:sz w:val="28"/>
          <w:szCs w:val="28"/>
        </w:rPr>
        <w:t>«Мемлеттік қызмет</w:t>
      </w:r>
      <w:r w:rsidRPr="009762A7">
        <w:rPr>
          <w:sz w:val="28"/>
          <w:szCs w:val="28"/>
        </w:rPr>
        <w:t>»</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9F03BC" w:rsidRPr="00623890" w:rsidRDefault="009F03BC" w:rsidP="009F03BC">
      <w:pPr>
        <w:jc w:val="both"/>
        <w:rPr>
          <w:sz w:val="28"/>
          <w:szCs w:val="28"/>
        </w:rPr>
      </w:pPr>
    </w:p>
    <w:p w:rsidR="00623890" w:rsidRPr="00623890" w:rsidRDefault="00CA12C2" w:rsidP="009F03BC">
      <w:pPr>
        <w:jc w:val="both"/>
        <w:rPr>
          <w:sz w:val="28"/>
          <w:szCs w:val="28"/>
        </w:rPr>
      </w:pPr>
      <w:r>
        <w:rPr>
          <w:sz w:val="28"/>
          <w:szCs w:val="28"/>
        </w:rPr>
        <w:t xml:space="preserve"> Қ</w:t>
      </w:r>
      <w:r w:rsidR="009F03BC">
        <w:rPr>
          <w:sz w:val="28"/>
          <w:szCs w:val="28"/>
        </w:rPr>
        <w:t>орытынды</w:t>
      </w:r>
      <w:r w:rsidR="009F03BC" w:rsidRPr="009F03BC">
        <w:rPr>
          <w:sz w:val="28"/>
          <w:szCs w:val="28"/>
        </w:rPr>
        <w:t xml:space="preserve"> </w:t>
      </w:r>
      <w:r w:rsidR="009F03BC">
        <w:rPr>
          <w:sz w:val="28"/>
          <w:szCs w:val="28"/>
        </w:rPr>
        <w:t xml:space="preserve">емтихан бағдарламасын құрастырған – </w:t>
      </w:r>
      <w:r w:rsidR="009F03BC" w:rsidRPr="00623890">
        <w:rPr>
          <w:sz w:val="28"/>
          <w:szCs w:val="28"/>
        </w:rPr>
        <w:t xml:space="preserve"> </w:t>
      </w:r>
      <w:r w:rsidR="009F03BC">
        <w:rPr>
          <w:sz w:val="28"/>
          <w:szCs w:val="28"/>
        </w:rPr>
        <w:t>з.ғ.к.,</w:t>
      </w:r>
      <w:r>
        <w:rPr>
          <w:sz w:val="28"/>
          <w:szCs w:val="28"/>
        </w:rPr>
        <w:t xml:space="preserve">доцент </w:t>
      </w:r>
      <w:r w:rsidR="00623890" w:rsidRPr="00623890">
        <w:rPr>
          <w:sz w:val="28"/>
          <w:szCs w:val="28"/>
        </w:rPr>
        <w:t xml:space="preserve">  </w:t>
      </w:r>
    </w:p>
    <w:p w:rsidR="00CA12C2" w:rsidRPr="00623890" w:rsidRDefault="00623890" w:rsidP="009F03BC">
      <w:pPr>
        <w:jc w:val="both"/>
        <w:rPr>
          <w:sz w:val="28"/>
          <w:szCs w:val="28"/>
        </w:rPr>
      </w:pPr>
      <w:r w:rsidRPr="00CD6523">
        <w:rPr>
          <w:sz w:val="28"/>
          <w:szCs w:val="28"/>
        </w:rPr>
        <w:t xml:space="preserve"> </w:t>
      </w:r>
      <w:r w:rsidR="00CA12C2">
        <w:rPr>
          <w:sz w:val="28"/>
          <w:szCs w:val="28"/>
        </w:rPr>
        <w:t>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Pr="009D12EA" w:rsidRDefault="00CA12C2" w:rsidP="00CA12C2">
      <w:pPr>
        <w:ind w:firstLine="567"/>
        <w:jc w:val="both"/>
        <w:rPr>
          <w:sz w:val="28"/>
          <w:szCs w:val="28"/>
        </w:rPr>
      </w:pPr>
      <w:r w:rsidRPr="009D12EA">
        <w:rPr>
          <w:bCs/>
          <w:sz w:val="28"/>
          <w:szCs w:val="28"/>
        </w:rPr>
        <w:t>Мемлекет және құқық теориясы мен тарихы, конституциялық және әкімшілік құқығы кафедрасы</w:t>
      </w:r>
      <w:r w:rsidRPr="009D12EA">
        <w:rPr>
          <w:sz w:val="28"/>
          <w:szCs w:val="28"/>
        </w:rPr>
        <w:t xml:space="preserve">ның мәжілісінде қаралып ұсынылды. </w:t>
      </w:r>
    </w:p>
    <w:p w:rsidR="00CA12C2" w:rsidRPr="009D12EA" w:rsidRDefault="00CA12C2" w:rsidP="00CA12C2">
      <w:pPr>
        <w:ind w:firstLine="709"/>
        <w:jc w:val="both"/>
        <w:rPr>
          <w:bCs/>
          <w:sz w:val="28"/>
          <w:szCs w:val="28"/>
        </w:rPr>
      </w:pPr>
      <w:r w:rsidRPr="009D12EA">
        <w:rPr>
          <w:bCs/>
          <w:sz w:val="28"/>
          <w:szCs w:val="28"/>
        </w:rPr>
        <w:t>«</w:t>
      </w:r>
      <w:r w:rsidR="007070B4">
        <w:rPr>
          <w:bCs/>
          <w:sz w:val="28"/>
          <w:szCs w:val="28"/>
        </w:rPr>
        <w:t>1</w:t>
      </w:r>
      <w:r w:rsidR="007070B4" w:rsidRPr="00AA0A67">
        <w:rPr>
          <w:bCs/>
          <w:sz w:val="28"/>
          <w:szCs w:val="28"/>
        </w:rPr>
        <w:t>7</w:t>
      </w:r>
      <w:r w:rsidRPr="009D12EA">
        <w:rPr>
          <w:bCs/>
          <w:sz w:val="28"/>
          <w:szCs w:val="28"/>
        </w:rPr>
        <w:t xml:space="preserve">» </w:t>
      </w:r>
      <w:r w:rsidR="009F03BC" w:rsidRPr="00623890">
        <w:rPr>
          <w:bCs/>
          <w:sz w:val="28"/>
          <w:szCs w:val="28"/>
        </w:rPr>
        <w:t>06</w:t>
      </w:r>
      <w:r w:rsidR="00803672">
        <w:rPr>
          <w:bCs/>
          <w:sz w:val="28"/>
          <w:szCs w:val="28"/>
        </w:rPr>
        <w:t xml:space="preserve"> 202</w:t>
      </w:r>
      <w:r w:rsidR="007070B4" w:rsidRPr="00AA0A67">
        <w:rPr>
          <w:bCs/>
          <w:sz w:val="28"/>
          <w:szCs w:val="28"/>
        </w:rPr>
        <w:t>5</w:t>
      </w:r>
      <w:r w:rsidR="009F03BC">
        <w:rPr>
          <w:bCs/>
          <w:sz w:val="28"/>
          <w:szCs w:val="28"/>
        </w:rPr>
        <w:t>ж.   №</w:t>
      </w:r>
      <w:r w:rsidR="007070B4">
        <w:rPr>
          <w:bCs/>
          <w:sz w:val="28"/>
          <w:szCs w:val="28"/>
        </w:rPr>
        <w:t>2</w:t>
      </w:r>
      <w:r w:rsidR="007070B4" w:rsidRPr="00AA0A67">
        <w:rPr>
          <w:bCs/>
          <w:sz w:val="28"/>
          <w:szCs w:val="28"/>
        </w:rPr>
        <w:t>8</w:t>
      </w:r>
      <w:r w:rsidR="004A159C" w:rsidRPr="00623890">
        <w:rPr>
          <w:bCs/>
          <w:sz w:val="28"/>
          <w:szCs w:val="28"/>
        </w:rPr>
        <w:t xml:space="preserve"> </w:t>
      </w:r>
      <w:r w:rsidRPr="009D12EA">
        <w:rPr>
          <w:bCs/>
          <w:sz w:val="28"/>
          <w:szCs w:val="28"/>
        </w:rPr>
        <w:t xml:space="preserve">Хаттама </w:t>
      </w:r>
    </w:p>
    <w:p w:rsidR="00CA12C2" w:rsidRPr="009D12EA" w:rsidRDefault="00CA12C2" w:rsidP="00CA12C2">
      <w:pPr>
        <w:ind w:firstLine="709"/>
        <w:jc w:val="both"/>
        <w:rPr>
          <w:bCs/>
          <w:sz w:val="28"/>
          <w:szCs w:val="28"/>
        </w:rPr>
      </w:pPr>
      <w:r w:rsidRPr="009D12EA">
        <w:rPr>
          <w:bCs/>
          <w:sz w:val="28"/>
          <w:szCs w:val="28"/>
        </w:rPr>
        <w:t>Кафедра меңгерушісі,</w:t>
      </w:r>
    </w:p>
    <w:p w:rsidR="00CA12C2" w:rsidRPr="00623890" w:rsidRDefault="00870783" w:rsidP="00CA12C2">
      <w:pPr>
        <w:ind w:firstLine="709"/>
        <w:rPr>
          <w:bCs/>
          <w:sz w:val="28"/>
          <w:szCs w:val="28"/>
        </w:rPr>
      </w:pPr>
      <w:r>
        <w:rPr>
          <w:bCs/>
          <w:sz w:val="28"/>
          <w:szCs w:val="28"/>
        </w:rPr>
        <w:t>з.ғ.к</w:t>
      </w:r>
      <w:r w:rsidR="009F03BC">
        <w:rPr>
          <w:bCs/>
          <w:sz w:val="28"/>
          <w:szCs w:val="28"/>
        </w:rPr>
        <w:t xml:space="preserve">., </w:t>
      </w:r>
      <w:r w:rsidR="00CA12C2" w:rsidRPr="009D12EA">
        <w:rPr>
          <w:bCs/>
          <w:sz w:val="28"/>
          <w:szCs w:val="28"/>
        </w:rPr>
        <w:t xml:space="preserve">                      _____</w:t>
      </w:r>
      <w:r w:rsidR="00CA12C2">
        <w:rPr>
          <w:bCs/>
          <w:sz w:val="28"/>
          <w:szCs w:val="28"/>
        </w:rPr>
        <w:t>______</w:t>
      </w:r>
      <w:r w:rsidR="00B05B34">
        <w:rPr>
          <w:bCs/>
          <w:sz w:val="28"/>
          <w:szCs w:val="28"/>
        </w:rPr>
        <w:t>_____    Усеинова Қ.</w:t>
      </w:r>
      <w:r w:rsidR="00B05B34" w:rsidRPr="00623890">
        <w:rPr>
          <w:bCs/>
          <w:sz w:val="28"/>
          <w:szCs w:val="28"/>
        </w:rPr>
        <w:t>Р</w:t>
      </w:r>
    </w:p>
    <w:p w:rsidR="00CA12C2" w:rsidRDefault="00CA12C2" w:rsidP="00CA12C2">
      <w:pPr>
        <w:ind w:firstLine="709"/>
        <w:rPr>
          <w:bCs/>
          <w:sz w:val="28"/>
          <w:szCs w:val="28"/>
        </w:rPr>
      </w:pPr>
    </w:p>
    <w:p w:rsidR="00CA12C2" w:rsidRDefault="00CA12C2" w:rsidP="00CA12C2">
      <w:pPr>
        <w:ind w:firstLine="709"/>
        <w:rPr>
          <w:sz w:val="28"/>
          <w:szCs w:val="28"/>
        </w:rPr>
      </w:pPr>
    </w:p>
    <w:p w:rsidR="00CA12C2" w:rsidRPr="00434154" w:rsidRDefault="00CA12C2" w:rsidP="00CA12C2">
      <w:pPr>
        <w:pStyle w:val="a3"/>
      </w:pPr>
      <w:r>
        <w:br/>
      </w:r>
    </w:p>
    <w:p w:rsidR="00CA12C2" w:rsidRPr="00AA0A67" w:rsidRDefault="00CA12C2" w:rsidP="00CA12C2">
      <w:pPr>
        <w:pStyle w:val="a3"/>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623890">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B05B34"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lastRenderedPageBreak/>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Кәсіпкерлік қызметпен айналысуға шектеу.Өзі қызмет істейтін  не өзіне тікелей байланысты немесе өзінің 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lastRenderedPageBreak/>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t xml:space="preserve">       </w:t>
      </w:r>
      <w:r w:rsidR="00412B12">
        <w:rPr>
          <w:bCs/>
          <w:sz w:val="28"/>
          <w:szCs w:val="28"/>
          <w:lang w:val="ru-RU"/>
        </w:rPr>
        <w:t>10</w:t>
      </w:r>
      <w:r>
        <w:rPr>
          <w:bCs/>
          <w:sz w:val="28"/>
          <w:szCs w:val="28"/>
        </w:rPr>
        <w:t xml:space="preserve">. Оспанова Д.А., Кусаинов Д.О. Админстративное право РК. (Учебное </w:t>
      </w:r>
      <w:r>
        <w:rPr>
          <w:bCs/>
          <w:sz w:val="28"/>
          <w:szCs w:val="28"/>
        </w:rPr>
        <w:lastRenderedPageBreak/>
        <w:t>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0860AC"/>
    <w:rsid w:val="000A0165"/>
    <w:rsid w:val="000D71B3"/>
    <w:rsid w:val="001510A6"/>
    <w:rsid w:val="001665E7"/>
    <w:rsid w:val="00187122"/>
    <w:rsid w:val="001F0D09"/>
    <w:rsid w:val="003F2362"/>
    <w:rsid w:val="00412B12"/>
    <w:rsid w:val="0046260B"/>
    <w:rsid w:val="00494D51"/>
    <w:rsid w:val="004A159C"/>
    <w:rsid w:val="004F5A46"/>
    <w:rsid w:val="0057057A"/>
    <w:rsid w:val="00623890"/>
    <w:rsid w:val="00644F86"/>
    <w:rsid w:val="006B5719"/>
    <w:rsid w:val="007070B4"/>
    <w:rsid w:val="0076672F"/>
    <w:rsid w:val="00775EEC"/>
    <w:rsid w:val="00786256"/>
    <w:rsid w:val="00803672"/>
    <w:rsid w:val="00870783"/>
    <w:rsid w:val="00874F90"/>
    <w:rsid w:val="008B1888"/>
    <w:rsid w:val="00915B0F"/>
    <w:rsid w:val="00995EBC"/>
    <w:rsid w:val="009A6BE5"/>
    <w:rsid w:val="009F03BC"/>
    <w:rsid w:val="00A12AA7"/>
    <w:rsid w:val="00A24515"/>
    <w:rsid w:val="00AA0A67"/>
    <w:rsid w:val="00AE063E"/>
    <w:rsid w:val="00B05B34"/>
    <w:rsid w:val="00B83C5E"/>
    <w:rsid w:val="00BD41FB"/>
    <w:rsid w:val="00BF420C"/>
    <w:rsid w:val="00C6501C"/>
    <w:rsid w:val="00C67A4B"/>
    <w:rsid w:val="00CA12C2"/>
    <w:rsid w:val="00CC6BE6"/>
    <w:rsid w:val="00CD6523"/>
    <w:rsid w:val="00D333B6"/>
    <w:rsid w:val="00E34C57"/>
    <w:rsid w:val="00ED2C29"/>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unhideWhenUsed/>
    <w:rsid w:val="00CA12C2"/>
    <w:pPr>
      <w:spacing w:after="120"/>
      <w:ind w:left="283"/>
    </w:pPr>
  </w:style>
  <w:style w:type="character" w:customStyle="1" w:styleId="a6">
    <w:name w:val="Основной текст с отступом Знак"/>
    <w:basedOn w:val="a0"/>
    <w:link w:val="a5"/>
    <w:uiPriority w:val="99"/>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1771</Words>
  <Characters>10096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47</cp:revision>
  <dcterms:created xsi:type="dcterms:W3CDTF">2021-09-13T12:47:00Z</dcterms:created>
  <dcterms:modified xsi:type="dcterms:W3CDTF">2025-07-02T05:14:00Z</dcterms:modified>
</cp:coreProperties>
</file>